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B72" w:rsidRDefault="00D56B72" w:rsidP="00D56B72">
      <w:pPr>
        <w:shd w:val="clear" w:color="auto" w:fill="FFFFFF"/>
        <w:spacing w:after="0" w:line="276" w:lineRule="atLeast"/>
        <w:ind w:left="-851" w:right="468"/>
        <w:textAlignment w:val="baseline"/>
        <w:outlineLvl w:val="2"/>
        <w:rPr>
          <w:rFonts w:ascii="Arial" w:hAnsi="Arial" w:cs="Arial"/>
          <w:b/>
          <w:sz w:val="28"/>
          <w:szCs w:val="28"/>
        </w:rPr>
      </w:pPr>
      <w:r>
        <w:rPr>
          <w:rFonts w:ascii="Arial" w:hAnsi="Arial" w:cs="Arial"/>
          <w:b/>
          <w:sz w:val="28"/>
          <w:szCs w:val="28"/>
        </w:rPr>
        <w:t>Οι βασικές διαφορές στους κανόνες επιμέτρησης (αποτίμησης) των αποθεμάτων μεταξύ του Ε.Γ.Λ.Σ. (Π.Δ. 1123/1980 παρ. 2.2.2) και του άρθρου 20 του Ν. 4308/2014 (ΕΛΠ), συνοψίζονται στα εξής σημεία:</w:t>
      </w:r>
    </w:p>
    <w:p w:rsidR="00D56B72" w:rsidRDefault="00D56B72" w:rsidP="00D56B72">
      <w:pPr>
        <w:shd w:val="clear" w:color="auto" w:fill="FFFFFF"/>
        <w:spacing w:after="0" w:line="276" w:lineRule="atLeast"/>
        <w:ind w:left="-851" w:right="468"/>
        <w:textAlignment w:val="baseline"/>
        <w:outlineLvl w:val="2"/>
        <w:rPr>
          <w:rFonts w:ascii="Arial" w:hAnsi="Arial" w:cs="Arial"/>
          <w:b/>
        </w:rPr>
      </w:pPr>
    </w:p>
    <w:p w:rsidR="00D56B72" w:rsidRDefault="00D56B72" w:rsidP="00D56B72">
      <w:pPr>
        <w:shd w:val="clear" w:color="auto" w:fill="FFFFFF"/>
        <w:spacing w:after="0" w:line="276" w:lineRule="atLeast"/>
        <w:ind w:left="-851" w:right="468"/>
        <w:textAlignment w:val="baseline"/>
        <w:outlineLvl w:val="2"/>
        <w:rPr>
          <w:rFonts w:ascii="Arial" w:hAnsi="Arial" w:cs="Arial"/>
        </w:rPr>
      </w:pPr>
      <w:r>
        <w:rPr>
          <w:rFonts w:ascii="Arial" w:hAnsi="Arial" w:cs="Arial"/>
          <w:b/>
        </w:rPr>
        <w:t>1.</w:t>
      </w:r>
      <w:r>
        <w:rPr>
          <w:rFonts w:ascii="Arial" w:hAnsi="Arial" w:cs="Arial"/>
        </w:rPr>
        <w:t xml:space="preserve"> Όταν απαιτείται σημαντική περίοδος χρόνου για να καταστούν τα αποθέματα έτοιμα για την προοριζόμενη χρήση ή πώλησή τους, το κόστος των αποθεμάτων μπορεί </w:t>
      </w:r>
      <w:r>
        <w:rPr>
          <w:rFonts w:ascii="Arial" w:hAnsi="Arial" w:cs="Arial"/>
          <w:b/>
        </w:rPr>
        <w:t>(δυνητική εφαρμογή)</w:t>
      </w:r>
      <w:r>
        <w:rPr>
          <w:rFonts w:ascii="Arial" w:hAnsi="Arial" w:cs="Arial"/>
        </w:rPr>
        <w:t xml:space="preserve"> να επιβαρύνεται με τόκους εντόκων υποχρεώσεων, κατά το μέρος που οι τόκοι αυτοί αναλογούν στα εν λόγω αποθέματα και για την προαναφερθείσα περίοδο. Αυτό σημαίνει, ότι το κόστος κτήσεως (αγοράς ή παραγωγής) των αποθεμάτων, που χρειάζονται σημαντική χρονική περίοδο για να καταστούν κατάλληλα προς πώληση (π.χ. παλαίωση οινοπνευματωδών ποτών, ωρίμανση τυριών κ.λπ.), δύνανται να επιβαρύνονται και με τόκους δανείων που δημιουργήθηκαν για την αιτία αυτή.                                                                                                                                               </w:t>
      </w:r>
      <w:r>
        <w:rPr>
          <w:rFonts w:ascii="Arial" w:hAnsi="Arial" w:cs="Arial"/>
          <w:b/>
        </w:rPr>
        <w:t xml:space="preserve">                                                                                                                                                                             2.</w:t>
      </w:r>
      <w:r>
        <w:rPr>
          <w:rFonts w:ascii="Arial" w:hAnsi="Arial" w:cs="Arial"/>
        </w:rPr>
        <w:t xml:space="preserve"> Μετά την αρχική αναγνώριση, τα αποθέματα (ανεξάρτητα αν είναι αγοραζόμενα, ή παραγόμενα), επιμετρώνται στην κατ’ είδος χαμηλότερη αξία μεταξύ κόστους κτήσης (αγοράς ή παραγωγής) και </w:t>
      </w:r>
      <w:r>
        <w:rPr>
          <w:rFonts w:ascii="Arial" w:hAnsi="Arial" w:cs="Arial"/>
          <w:b/>
        </w:rPr>
        <w:t>καθαρής ρευστοποιήσιμης αξίας</w:t>
      </w:r>
      <w:r>
        <w:rPr>
          <w:rFonts w:ascii="Arial" w:hAnsi="Arial" w:cs="Arial"/>
        </w:rPr>
        <w:t xml:space="preserve">. Για το λόγο αυτό δεν αναγνωρίζεται η έννοια της «τρέχουσας τιμής αγοράς» και του κόστους στο οποίο η επιχείρηση μπορεί να παράγει», ως τιμές επιμέτρησης-αποτίμησης των αποθεμάτων. </w:t>
      </w:r>
    </w:p>
    <w:p w:rsidR="00D56B72" w:rsidRDefault="00D56B72" w:rsidP="00D56B72">
      <w:pPr>
        <w:shd w:val="clear" w:color="auto" w:fill="FFFFFF"/>
        <w:spacing w:after="0" w:line="276" w:lineRule="atLeast"/>
        <w:ind w:left="-851" w:right="468"/>
        <w:textAlignment w:val="baseline"/>
        <w:outlineLvl w:val="2"/>
        <w:rPr>
          <w:rFonts w:ascii="Arial" w:hAnsi="Arial" w:cs="Arial"/>
        </w:rPr>
      </w:pPr>
      <w:r>
        <w:rPr>
          <w:rFonts w:ascii="Arial" w:hAnsi="Arial" w:cs="Arial"/>
          <w:b/>
        </w:rPr>
        <w:t>3.</w:t>
      </w:r>
      <w:r>
        <w:rPr>
          <w:rFonts w:ascii="Arial" w:hAnsi="Arial" w:cs="Arial"/>
        </w:rPr>
        <w:t xml:space="preserve"> Το κόστος κτήσης του τελικού αποθέματος, προσδιορίζεται, σύμφωνα με τη μέθοδο «Πρώτο Εισαχθέν – Πρώτο Εξαχθέν» (FIFO) ή τη μέθοδο του μέσου σταθμικού όρου ή άλλη τεκμηριωμένα γενικά αποδεκτή μέθοδο όπως τη μέθοδο του εξατομικευμένου κόστους που εφαρμόζεται για αποθέματα που δεν είναι συνήθως αντικαταστατά, καθώς και των αγαθών ή υπηρεσιών που παράγονται και προορίζονται για ειδικά έργα. Η χρήση της μεθόδου «Τελευταίο Εισαχθέν – Πρώτο Εξαχθέν» (LIFO) </w:t>
      </w:r>
      <w:r>
        <w:rPr>
          <w:rFonts w:ascii="Arial" w:hAnsi="Arial" w:cs="Arial"/>
          <w:b/>
        </w:rPr>
        <w:t>ρητά δεν επιτρέπεται</w:t>
      </w:r>
      <w:r>
        <w:rPr>
          <w:rFonts w:ascii="Arial" w:hAnsi="Arial" w:cs="Arial"/>
        </w:rPr>
        <w:t>.</w:t>
      </w:r>
    </w:p>
    <w:p w:rsidR="00D56B72" w:rsidRDefault="00D56B72" w:rsidP="00D56B72"/>
    <w:p w:rsidR="00030103" w:rsidRPr="00D56B72" w:rsidRDefault="00030103" w:rsidP="00030103">
      <w:pPr>
        <w:shd w:val="clear" w:color="auto" w:fill="FFFFFF"/>
        <w:spacing w:after="0" w:line="240" w:lineRule="auto"/>
        <w:ind w:left="-851" w:right="468"/>
        <w:textAlignment w:val="baseline"/>
        <w:outlineLvl w:val="2"/>
        <w:rPr>
          <w:rFonts w:ascii="Arial" w:hAnsi="Arial" w:cs="Arial"/>
          <w:b/>
        </w:rPr>
      </w:pPr>
    </w:p>
    <w:p w:rsidR="00030103" w:rsidRPr="00D56B72" w:rsidRDefault="00001467" w:rsidP="00030103">
      <w:pPr>
        <w:shd w:val="clear" w:color="auto" w:fill="FFFFFF"/>
        <w:spacing w:after="0" w:line="276" w:lineRule="atLeast"/>
        <w:ind w:left="-851" w:right="468"/>
        <w:textAlignment w:val="baseline"/>
        <w:outlineLvl w:val="2"/>
        <w:rPr>
          <w:rFonts w:ascii="Arial" w:hAnsi="Arial" w:cs="Arial"/>
          <w:b/>
        </w:rPr>
      </w:pPr>
      <w:r w:rsidRPr="00D56B72">
        <w:rPr>
          <w:rFonts w:ascii="Arial" w:hAnsi="Arial" w:cs="Arial"/>
          <w:b/>
        </w:rPr>
        <w:t>Σ</w:t>
      </w:r>
      <w:r w:rsidR="00D56B72" w:rsidRPr="00D56B72">
        <w:rPr>
          <w:rFonts w:ascii="Arial" w:hAnsi="Arial" w:cs="Arial"/>
          <w:b/>
        </w:rPr>
        <w:t>χηματικά</w:t>
      </w:r>
      <w:r w:rsidRPr="00D56B72">
        <w:rPr>
          <w:rFonts w:ascii="Arial" w:hAnsi="Arial" w:cs="Arial"/>
          <w:b/>
        </w:rPr>
        <w:t>, ο</w:t>
      </w:r>
      <w:r w:rsidR="00030103" w:rsidRPr="00D56B72">
        <w:rPr>
          <w:rFonts w:ascii="Arial" w:hAnsi="Arial" w:cs="Arial"/>
          <w:b/>
        </w:rPr>
        <w:t xml:space="preserve">ι βασικές διαφορές στο λογιστικό χειρισμό </w:t>
      </w:r>
      <w:r w:rsidRPr="00D56B72">
        <w:rPr>
          <w:rFonts w:ascii="Arial" w:hAnsi="Arial" w:cs="Arial"/>
          <w:b/>
        </w:rPr>
        <w:t xml:space="preserve">της αποτίμησης των </w:t>
      </w:r>
      <w:r w:rsidR="00030103" w:rsidRPr="00D56B72">
        <w:rPr>
          <w:rFonts w:ascii="Arial" w:hAnsi="Arial" w:cs="Arial"/>
          <w:b/>
        </w:rPr>
        <w:t>αποθεμάτων μεταξύ του Ε.Γ.Λ.Σ. και των ΕΛΠ αποδίδονται με τους ακόλουθους πίνακες:</w:t>
      </w:r>
    </w:p>
    <w:p w:rsidR="00030103" w:rsidRDefault="00030103" w:rsidP="00030103">
      <w:r>
        <w:object w:dxaOrig="9060" w:dyaOrig="12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615.75pt" o:ole="">
            <v:imagedata r:id="rId5" o:title=""/>
          </v:shape>
          <o:OLEObject Type="Embed" ProgID="Word.Document.12" ShapeID="_x0000_i1025" DrawAspect="Content" ObjectID="_1547833349" r:id="rId6">
            <o:FieldCodes>\s</o:FieldCodes>
          </o:OLEObject>
        </w:object>
      </w:r>
    </w:p>
    <w:p w:rsidR="00030103" w:rsidRDefault="00030103" w:rsidP="00030103">
      <w:pPr>
        <w:shd w:val="clear" w:color="auto" w:fill="FFFFFF"/>
        <w:spacing w:after="0" w:line="276" w:lineRule="atLeast"/>
        <w:ind w:left="-851" w:right="468"/>
        <w:textAlignment w:val="baseline"/>
        <w:outlineLvl w:val="2"/>
        <w:rPr>
          <w:b/>
          <w:shd w:val="clear" w:color="auto" w:fill="FFFFFF"/>
        </w:rPr>
      </w:pPr>
      <w:r>
        <w:rPr>
          <w:b/>
          <w:shd w:val="clear" w:color="auto" w:fill="FFFFFF"/>
        </w:rPr>
        <w:object w:dxaOrig="9060" w:dyaOrig="11040">
          <v:shape id="_x0000_i1026" type="#_x0000_t75" style="width:453pt;height:552pt" o:ole="">
            <v:imagedata r:id="rId7" o:title=""/>
          </v:shape>
          <o:OLEObject Type="Embed" ProgID="Word.Document.12" ShapeID="_x0000_i1026" DrawAspect="Content" ObjectID="_1547833350" r:id="rId8">
            <o:FieldCodes>\s</o:FieldCodes>
          </o:OLEObject>
        </w:object>
      </w:r>
    </w:p>
    <w:p w:rsidR="00030103" w:rsidRDefault="00030103" w:rsidP="00030103">
      <w:pPr>
        <w:shd w:val="clear" w:color="auto" w:fill="FFFFFF"/>
        <w:spacing w:after="0" w:line="276" w:lineRule="atLeast"/>
        <w:ind w:left="-851" w:right="468"/>
        <w:textAlignment w:val="baseline"/>
        <w:outlineLvl w:val="2"/>
        <w:rPr>
          <w:b/>
          <w:shd w:val="clear" w:color="auto" w:fill="FFFFFF"/>
        </w:rPr>
      </w:pPr>
      <w:bookmarkStart w:id="0" w:name="_GoBack"/>
      <w:bookmarkEnd w:id="0"/>
    </w:p>
    <w:sectPr w:rsidR="00030103">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103"/>
    <w:rsid w:val="00001467"/>
    <w:rsid w:val="00030103"/>
    <w:rsid w:val="00051F3B"/>
    <w:rsid w:val="003304C3"/>
    <w:rsid w:val="00391D51"/>
    <w:rsid w:val="00445517"/>
    <w:rsid w:val="00660984"/>
    <w:rsid w:val="00D56B7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103"/>
    <w:pPr>
      <w:spacing w:after="120" w:line="360" w:lineRule="auto"/>
      <w:jc w:val="both"/>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030103"/>
    <w:pPr>
      <w:spacing w:before="100" w:beforeAutospacing="1" w:after="100" w:afterAutospacing="1" w:line="240" w:lineRule="auto"/>
      <w:jc w:val="left"/>
    </w:pPr>
  </w:style>
  <w:style w:type="paragraph" w:customStyle="1" w:styleId="Default">
    <w:name w:val="Default"/>
    <w:uiPriority w:val="99"/>
    <w:rsid w:val="00030103"/>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Strong"/>
    <w:basedOn w:val="a0"/>
    <w:uiPriority w:val="22"/>
    <w:qFormat/>
    <w:rsid w:val="00030103"/>
    <w:rPr>
      <w:b/>
      <w:bCs/>
    </w:rPr>
  </w:style>
  <w:style w:type="character" w:styleId="-">
    <w:name w:val="Hyperlink"/>
    <w:basedOn w:val="a0"/>
    <w:uiPriority w:val="99"/>
    <w:semiHidden/>
    <w:unhideWhenUsed/>
    <w:rsid w:val="0003010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103"/>
    <w:pPr>
      <w:spacing w:after="120" w:line="360" w:lineRule="auto"/>
      <w:jc w:val="both"/>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030103"/>
    <w:pPr>
      <w:spacing w:before="100" w:beforeAutospacing="1" w:after="100" w:afterAutospacing="1" w:line="240" w:lineRule="auto"/>
      <w:jc w:val="left"/>
    </w:pPr>
  </w:style>
  <w:style w:type="paragraph" w:customStyle="1" w:styleId="Default">
    <w:name w:val="Default"/>
    <w:uiPriority w:val="99"/>
    <w:rsid w:val="00030103"/>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Strong"/>
    <w:basedOn w:val="a0"/>
    <w:uiPriority w:val="22"/>
    <w:qFormat/>
    <w:rsid w:val="00030103"/>
    <w:rPr>
      <w:b/>
      <w:bCs/>
    </w:rPr>
  </w:style>
  <w:style w:type="character" w:styleId="-">
    <w:name w:val="Hyperlink"/>
    <w:basedOn w:val="a0"/>
    <w:uiPriority w:val="99"/>
    <w:semiHidden/>
    <w:unhideWhenUsed/>
    <w:rsid w:val="000301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049878">
      <w:bodyDiv w:val="1"/>
      <w:marLeft w:val="0"/>
      <w:marRight w:val="0"/>
      <w:marTop w:val="0"/>
      <w:marBottom w:val="0"/>
      <w:divBdr>
        <w:top w:val="none" w:sz="0" w:space="0" w:color="auto"/>
        <w:left w:val="none" w:sz="0" w:space="0" w:color="auto"/>
        <w:bottom w:val="none" w:sz="0" w:space="0" w:color="auto"/>
        <w:right w:val="none" w:sz="0" w:space="0" w:color="auto"/>
      </w:divBdr>
    </w:div>
    <w:div w:id="197671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2.docx"/><Relationship Id="rId3" Type="http://schemas.openxmlformats.org/officeDocument/2006/relationships/settings" Target="settings.xml"/><Relationship Id="rId7" Type="http://schemas.openxmlformats.org/officeDocument/2006/relationships/image" Target="media/image2.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package" Target="embeddings/Microsoft_Word_Document1.docx"/><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349</Words>
  <Characters>1888</Characters>
  <Application>Microsoft Office Word</Application>
  <DocSecurity>0</DocSecurity>
  <Lines>15</Lines>
  <Paragraphs>4</Paragraphs>
  <ScaleCrop>false</ScaleCrop>
  <Company>Hewlett-Packard Company</Company>
  <LinksUpToDate>false</LinksUpToDate>
  <CharactersWithSpaces>2233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Nondas</dc:creator>
  <cp:lastModifiedBy>Nondas</cp:lastModifiedBy>
  <cp:revision>7</cp:revision>
  <dcterms:created xsi:type="dcterms:W3CDTF">2016-09-04T19:51:00Z</dcterms:created>
  <dcterms:modified xsi:type="dcterms:W3CDTF">2017-02-05T18:56:00Z</dcterms:modified>
</cp:coreProperties>
</file>